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Sinespaciado"/>
        <w:jc w:val="center"/>
        <w:rPr>
          <w:rFonts w:ascii="Lato" w:hAnsi="Lato"/>
          <w:b/>
          <w:bCs/>
          <w:sz w:val="28"/>
          <w:szCs w:val="28"/>
          <w:lang w:eastAsia="es-CO"/>
        </w:rPr>
      </w:pPr>
      <w:r>
        <w:rPr>
          <w:rFonts w:ascii="Lato" w:hAnsi="Lato"/>
          <w:b/>
          <w:bCs/>
          <w:sz w:val="28"/>
          <w:szCs w:val="28"/>
          <w:lang w:eastAsia="es-CO"/>
        </w:rPr>
        <w:t>BASES DEL 2° CONCURSO DE CANTO</w:t>
      </w:r>
    </w:p>
    <w:p>
      <w:pPr>
        <w:pStyle w:val="Sinespaciado"/>
        <w:jc w:val="center"/>
        <w:rPr>
          <w:rFonts w:ascii="Lato" w:hAnsi="Lato"/>
          <w:b/>
          <w:bCs/>
          <w:sz w:val="28"/>
          <w:szCs w:val="28"/>
          <w:lang w:eastAsia="es-CO"/>
        </w:rPr>
      </w:pPr>
      <w:r>
        <w:rPr>
          <w:rFonts w:ascii="Lato" w:hAnsi="Lato"/>
          <w:b/>
          <w:bCs/>
          <w:sz w:val="28"/>
          <w:szCs w:val="28"/>
          <w:lang w:eastAsia="es-CO"/>
        </w:rPr>
        <w:t>“VOCES NUEVAS”</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En el marco del 32° Encuentro Nacional de Intérpretes de Música Colombiana “Julio César García Ayala”, el Instituto Municipal de Cultura de Yumbo – IMCY invita a participar en el 2° Concurso de Canto “Voces Nuevas”, una iniciativa orientada a promover el talento vocal de niños, niñas, jóvenes y adultos vinculados a instituciones educativas públicas o privadas, así como a quienes formen parte o sean egresados de los procesos de formación musical del IMCY o de otras entidades de formación musical del municipio de Yumbo.</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INSCRIPCIONES:</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Fecha de apertura: </w:t>
      </w:r>
      <w:r>
        <w:rPr>
          <w:rFonts w:ascii="Lato" w:eastAsia="Times New Roman" w:hAnsi="Lato" w:cs="Times New Roman"/>
          <w:kern w:val="0"/>
          <w:sz w:val="24"/>
          <w:szCs w:val="24"/>
          <w:lang w:eastAsia="es-CO"/>
          <w14:ligatures w14:val="none"/>
        </w:rPr>
        <w:t>Septiembre 17 de 2025</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Fecha de Cierre: </w:t>
      </w:r>
      <w:r>
        <w:rPr>
          <w:rFonts w:ascii="Lato" w:eastAsia="Times New Roman" w:hAnsi="Lato" w:cs="Times New Roman"/>
          <w:kern w:val="0"/>
          <w:sz w:val="24"/>
          <w:szCs w:val="24"/>
          <w:lang w:eastAsia="es-CO"/>
          <w14:ligatures w14:val="none"/>
        </w:rPr>
        <w:t>Octubre 26 de 2025, hasta las 11:59 P.M.</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CATEGORÍAS:</w:t>
      </w:r>
    </w:p>
    <w:p>
      <w:pPr>
        <w:numPr>
          <w:ilvl w:val="0"/>
          <w:numId w:val="1"/>
        </w:num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Infantil (7 a 13 años)</w:t>
      </w:r>
    </w:p>
    <w:p>
      <w:pPr>
        <w:numPr>
          <w:ilvl w:val="0"/>
          <w:numId w:val="1"/>
        </w:num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Juvenil (14 a 28 años)</w:t>
      </w:r>
    </w:p>
    <w:p>
      <w:pPr>
        <w:numPr>
          <w:ilvl w:val="0"/>
          <w:numId w:val="1"/>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Adultos (29 años en adelante)</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QUIÉNES PUEDEN PARTICIPAR</w:t>
      </w:r>
    </w:p>
    <w:p>
      <w:p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Podrán inscribirse niños, jóvenes y adultos, colombianos o extranjeros, que cumplan con alguna de las siguientes condiciones:</w:t>
      </w:r>
    </w:p>
    <w:p>
      <w:pPr>
        <w:shd w:val="clear" w:color="auto" w:fill="FFFFFF"/>
        <w:spacing w:after="0" w:line="240" w:lineRule="auto"/>
        <w:jc w:val="both"/>
        <w:rPr>
          <w:rFonts w:ascii="Lato" w:eastAsia="Times New Roman" w:hAnsi="Lato" w:cs="Times New Roman"/>
          <w:kern w:val="0"/>
          <w:sz w:val="24"/>
          <w:szCs w:val="24"/>
          <w:lang w:eastAsia="es-CO"/>
          <w14:ligatures w14:val="none"/>
        </w:rPr>
      </w:pPr>
    </w:p>
    <w:p>
      <w:pPr>
        <w:pStyle w:val="Prrafodelista"/>
        <w:numPr>
          <w:ilvl w:val="0"/>
          <w:numId w:val="10"/>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Ser integrantes de instituciones educativas públicas o privadas del municipio de Yumbo.</w:t>
      </w:r>
    </w:p>
    <w:p>
      <w:pPr>
        <w:pStyle w:val="Prrafodelista"/>
        <w:numPr>
          <w:ilvl w:val="0"/>
          <w:numId w:val="10"/>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Participar o haber egresado de procesos de formación musical ofrecidos por el IMCY o por otras entidades musicales del municipio.</w:t>
      </w:r>
    </w:p>
    <w:p>
      <w:pPr>
        <w:pStyle w:val="Prrafodelista"/>
        <w:numPr>
          <w:ilvl w:val="0"/>
          <w:numId w:val="10"/>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La participación está abierta a niños desde los 7 años de edad (cumplidos antes del 26 de octubre), así como a jóvenes y adultos que se ajusten a los rangos establecidos por el comité organizador para cada categoría del concurso.</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lastRenderedPageBreak/>
        <w:t>REQUISITOS DE PARTICIPACIÓN:</w:t>
      </w:r>
    </w:p>
    <w:p>
      <w:pPr>
        <w:numPr>
          <w:ilvl w:val="0"/>
          <w:numId w:val="4"/>
        </w:num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Los concursantes deben inscribirse entre el 17 de septiembre y el 26 de octubre, hasta las 11:59 p.m.</w:t>
      </w:r>
    </w:p>
    <w:p>
      <w:pPr>
        <w:numPr>
          <w:ilvl w:val="0"/>
          <w:numId w:val="4"/>
        </w:num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 xml:space="preserve">El proceso de inscripción se realizará, exclusivamente de manera digital, a través del siguiente formulario: </w:t>
      </w:r>
      <w:hyperlink r:id="rId5" w:history="1">
        <w:r>
          <w:rPr>
            <w:rStyle w:val="Hipervnculo"/>
            <w:rFonts w:ascii="Lato" w:hAnsi="Lato"/>
            <w:b/>
            <w:bCs/>
            <w:sz w:val="24"/>
            <w:szCs w:val="24"/>
          </w:rPr>
          <w:t>https://forms.gle/J53vRefp5AG</w:t>
        </w:r>
        <w:r>
          <w:rPr>
            <w:rStyle w:val="Hipervnculo"/>
            <w:rFonts w:ascii="Lato" w:hAnsi="Lato"/>
            <w:b/>
            <w:bCs/>
            <w:sz w:val="24"/>
            <w:szCs w:val="24"/>
          </w:rPr>
          <w:t>8</w:t>
        </w:r>
        <w:r>
          <w:rPr>
            <w:rStyle w:val="Hipervnculo"/>
            <w:rFonts w:ascii="Lato" w:hAnsi="Lato"/>
            <w:b/>
            <w:bCs/>
            <w:sz w:val="24"/>
            <w:szCs w:val="24"/>
          </w:rPr>
          <w:t>D4AA8</w:t>
        </w:r>
      </w:hyperlink>
      <w:r>
        <w:t xml:space="preserve"> </w:t>
      </w:r>
      <w:r>
        <w:rPr>
          <w:rFonts w:ascii="Lato" w:eastAsia="Times New Roman" w:hAnsi="Lato" w:cs="Times New Roman"/>
          <w:kern w:val="0"/>
          <w:sz w:val="24"/>
          <w:szCs w:val="24"/>
          <w:lang w:eastAsia="es-CO"/>
          <w14:ligatures w14:val="none"/>
        </w:rPr>
        <w:t xml:space="preserve"> Los y las participantes deben diligenciar el formulario de inscripción con información clara y actualizada.</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noProof/>
          <w:kern w:val="0"/>
          <w:sz w:val="24"/>
          <w:szCs w:val="24"/>
          <w:lang w:eastAsia="es-CO"/>
          <w14:ligatures w14:val="none"/>
        </w:rPr>
        <mc:AlternateContent>
          <mc:Choice Requires="wps">
            <w:drawing>
              <wp:inline distT="0" distB="0" distL="0" distR="0">
                <wp:extent cx="304800" cy="304800"/>
                <wp:effectExtent l="0" t="0" r="0" b="0"/>
                <wp:docPr id="1105400700" name="AutoShap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32C03CBE" id="AutoShape 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Lato" w:eastAsia="Times New Roman" w:hAnsi="Lato" w:cs="Times New Roman"/>
          <w:b/>
          <w:bCs/>
          <w:kern w:val="0"/>
          <w:sz w:val="24"/>
          <w:szCs w:val="24"/>
          <w:lang w:eastAsia="es-CO"/>
          <w14:ligatures w14:val="none"/>
        </w:rPr>
        <w:t> Importante</w:t>
      </w:r>
      <w:r>
        <w:rPr>
          <w:rFonts w:ascii="Lato" w:eastAsia="Times New Roman" w:hAnsi="Lato" w:cs="Times New Roman"/>
          <w:kern w:val="0"/>
          <w:sz w:val="24"/>
          <w:szCs w:val="24"/>
          <w:lang w:eastAsia="es-CO"/>
          <w14:ligatures w14:val="none"/>
        </w:rPr>
        <w:t>: descargar los archivos anexos para tu postulación:</w:t>
      </w:r>
    </w:p>
    <w:p>
      <w:pPr>
        <w:numPr>
          <w:ilvl w:val="0"/>
          <w:numId w:val="5"/>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Anexo 1. Formato para repertorio</w:t>
      </w:r>
    </w:p>
    <w:p>
      <w:pPr>
        <w:numPr>
          <w:ilvl w:val="0"/>
          <w:numId w:val="5"/>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Anexo 2. Formato de caracterización Integrantes</w:t>
      </w:r>
    </w:p>
    <w:p>
      <w:pPr>
        <w:numPr>
          <w:ilvl w:val="0"/>
          <w:numId w:val="5"/>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Anexo 3 Autorización de uso de derechos de imagen mayor de edad</w:t>
      </w:r>
    </w:p>
    <w:p>
      <w:pPr>
        <w:numPr>
          <w:ilvl w:val="0"/>
          <w:numId w:val="5"/>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Anexo 4 Autorización de participación y uso de imagen menor de edad</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 xml:space="preserve">3. Cada participante deberá realizar la inscripción de 2 canciones de diferentes ritmos representativos de las distintas regiones de Colombia, tales como: bambuco, pasillo, guabina, torbellino, rajaleña, sanjuanero, vals, </w:t>
      </w:r>
      <w:proofErr w:type="spellStart"/>
      <w:r>
        <w:rPr>
          <w:rFonts w:ascii="Lato" w:eastAsia="Times New Roman" w:hAnsi="Lato" w:cs="Times New Roman"/>
          <w:kern w:val="0"/>
          <w:sz w:val="24"/>
          <w:szCs w:val="24"/>
          <w:lang w:eastAsia="es-CO"/>
          <w14:ligatures w14:val="none"/>
        </w:rPr>
        <w:t>aguabajo</w:t>
      </w:r>
      <w:proofErr w:type="spellEnd"/>
      <w:r>
        <w:rPr>
          <w:rFonts w:ascii="Lato" w:eastAsia="Times New Roman" w:hAnsi="Lato" w:cs="Times New Roman"/>
          <w:kern w:val="0"/>
          <w:sz w:val="24"/>
          <w:szCs w:val="24"/>
          <w:lang w:eastAsia="es-CO"/>
          <w14:ligatures w14:val="none"/>
        </w:rPr>
        <w:t>, bunde, juga, contradanza chocoana currulao, porro, cumbia, vallenato, puya, mapalé, bullerengue, fandango, joropo, galerón, pasaje llanero entre otros.</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Nota:</w:t>
      </w:r>
      <w:r>
        <w:rPr>
          <w:rFonts w:ascii="Lato" w:eastAsia="Times New Roman" w:hAnsi="Lato" w:cs="Times New Roman"/>
          <w:kern w:val="0"/>
          <w:sz w:val="24"/>
          <w:szCs w:val="24"/>
          <w:lang w:eastAsia="es-CO"/>
          <w14:ligatures w14:val="none"/>
        </w:rPr>
        <w:t xml:space="preserve"> No se permitirá la interpretación de géneros comerciales o populares contemporáneos, tales como salsa, bachata, reguetón, rock, pop, música urbana o cualquier otro estilo que no corresponda a las expresiones musicales tradicionales colombianas.</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 xml:space="preserve">4. Diligenciar el </w:t>
      </w:r>
      <w:r>
        <w:rPr>
          <w:rFonts w:ascii="Lato" w:hAnsi="Lato"/>
          <w:color w:val="002060"/>
          <w:sz w:val="24"/>
          <w:szCs w:val="24"/>
          <w:u w:val="single"/>
        </w:rPr>
        <w:t>Anexo 1. Formato para repertorio</w:t>
      </w:r>
      <w:r>
        <w:rPr>
          <w:rFonts w:ascii="Lato" w:eastAsia="Times New Roman" w:hAnsi="Lato" w:cs="Times New Roman"/>
          <w:color w:val="002060"/>
          <w:kern w:val="0"/>
          <w:sz w:val="28"/>
          <w:szCs w:val="28"/>
          <w:lang w:eastAsia="es-CO"/>
          <w14:ligatures w14:val="none"/>
        </w:rPr>
        <w:t xml:space="preserve"> </w:t>
      </w:r>
      <w:r>
        <w:rPr>
          <w:rFonts w:ascii="Lato" w:eastAsia="Times New Roman" w:hAnsi="Lato" w:cs="Times New Roman"/>
          <w:kern w:val="0"/>
          <w:sz w:val="24"/>
          <w:szCs w:val="24"/>
          <w:lang w:eastAsia="es-CO"/>
          <w14:ligatures w14:val="none"/>
        </w:rPr>
        <w:t>e inscribir 2 canciones, describiendo nombre de la obra musical, autor, compositor, aire o ritmo y duración.</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5. Anexar fotocopia del documento de identificación.</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 xml:space="preserve">6. Diligenciar el </w:t>
      </w:r>
      <w:r>
        <w:rPr>
          <w:rFonts w:ascii="Lato" w:hAnsi="Lato"/>
          <w:color w:val="002060"/>
          <w:sz w:val="24"/>
          <w:szCs w:val="24"/>
          <w:u w:val="single"/>
        </w:rPr>
        <w:t>Anexo 2. Formato de caracterización Integrantes.</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lastRenderedPageBreak/>
        <w:t>7. Diligenciar el </w:t>
      </w:r>
      <w:r>
        <w:rPr>
          <w:rFonts w:ascii="Lato" w:hAnsi="Lato"/>
          <w:color w:val="002060"/>
          <w:sz w:val="24"/>
          <w:szCs w:val="24"/>
          <w:u w:val="single"/>
        </w:rPr>
        <w:t>Anexo 3 Autorización de uso de derechos de imagen mayor de edad</w:t>
      </w:r>
      <w:r>
        <w:rPr>
          <w:rFonts w:ascii="Lato" w:eastAsia="Times New Roman" w:hAnsi="Lato" w:cs="Times New Roman"/>
          <w:color w:val="002060"/>
          <w:kern w:val="0"/>
          <w:sz w:val="24"/>
          <w:szCs w:val="24"/>
          <w:u w:val="single"/>
          <w:lang w:eastAsia="es-CO"/>
          <w14:ligatures w14:val="none"/>
        </w:rPr>
        <w:t>.</w:t>
      </w:r>
      <w:r>
        <w:rPr>
          <w:rFonts w:ascii="Lato" w:eastAsia="Times New Roman" w:hAnsi="Lato" w:cs="Times New Roman"/>
          <w:color w:val="002060"/>
          <w:kern w:val="0"/>
          <w:sz w:val="24"/>
          <w:szCs w:val="24"/>
          <w:lang w:eastAsia="es-CO"/>
          <w14:ligatures w14:val="none"/>
        </w:rPr>
        <w:t xml:space="preserve"> </w:t>
      </w:r>
      <w:r>
        <w:rPr>
          <w:rFonts w:ascii="Lato" w:eastAsia="Times New Roman" w:hAnsi="Lato" w:cs="Times New Roman"/>
          <w:kern w:val="0"/>
          <w:sz w:val="24"/>
          <w:szCs w:val="24"/>
          <w:lang w:eastAsia="es-CO"/>
          <w14:ligatures w14:val="none"/>
        </w:rPr>
        <w:t xml:space="preserve">En el caso de los menores de edad, los padres de familia deberán firmar el </w:t>
      </w:r>
      <w:r>
        <w:rPr>
          <w:rFonts w:ascii="Lato" w:eastAsia="Times New Roman" w:hAnsi="Lato" w:cs="Times New Roman"/>
          <w:color w:val="002060"/>
          <w:kern w:val="0"/>
          <w:sz w:val="24"/>
          <w:szCs w:val="24"/>
          <w:u w:val="single"/>
          <w:lang w:eastAsia="es-CO"/>
          <w14:ligatures w14:val="none"/>
        </w:rPr>
        <w:t>Anexo 4 Autorización de participación y uso de imagen menor de edad</w:t>
      </w:r>
      <w:r>
        <w:rPr>
          <w:rFonts w:ascii="Lato" w:eastAsia="Times New Roman" w:hAnsi="Lato" w:cs="Times New Roman"/>
          <w:kern w:val="0"/>
          <w:sz w:val="24"/>
          <w:szCs w:val="24"/>
          <w:lang w:eastAsia="es-CO"/>
          <w14:ligatures w14:val="none"/>
        </w:rPr>
        <w:t xml:space="preserve"> del niño o la niña en el concurso.</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8. Cargar las pistas musicales en OneDrive o Google Drive (debidamente compartidas para que cualquier usuario de Internet que tenga el vínculo pueda acceder a ellas), y enviar el enlace al comité organizador al momento de realizar la inscripción digital.</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NOTA:</w:t>
      </w:r>
    </w:p>
    <w:p>
      <w:pPr>
        <w:numPr>
          <w:ilvl w:val="0"/>
          <w:numId w:val="6"/>
        </w:num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No se tendrán en cuenta las inscripciones que no cumplan con todos los requisitos exigidos por la organización del concurso.</w:t>
      </w:r>
    </w:p>
    <w:p>
      <w:pPr>
        <w:numPr>
          <w:ilvl w:val="0"/>
          <w:numId w:val="6"/>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En caso de que algunos de los participantes seleccionen la misma canción se aceptará la inscripción del primer concursante que haya realizado el registro de la obra. Sin embargo, un representante del Instituto Municipal de Cultura de Yumbo, se pondrá en contacto a los números telefónicos y/o correo electrónico suministrados en el formulario de inscripción, para que el participante realice el cambio de la obra musical.</w:t>
      </w:r>
    </w:p>
    <w:p>
      <w:pPr>
        <w:numPr>
          <w:ilvl w:val="0"/>
          <w:numId w:val="6"/>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No podrán participar los ganadores en primer, segundo y tercer lugar de la versión 2024 del concurso de canto “Las Voces Nuevas”.</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El JURADO</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En cada etapa, el jurado estará conformado por tres profesionales idóneos y con amplia trayectoria en las áreas de artes escénicas (dos en música y uno en teatro o danza), quienes se encargarán de evaluar a cada uno de los participantes y una vez finalizada las etapas de selección anunciarán a los finalistas y a los tres ganadores de cada categoría.</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p>
    <w:p>
      <w:pPr>
        <w:shd w:val="clear" w:color="auto" w:fill="FFFFFF"/>
        <w:spacing w:before="100" w:beforeAutospacing="1" w:after="100" w:afterAutospacing="1" w:line="240" w:lineRule="auto"/>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lastRenderedPageBreak/>
        <w:t>CRITERIOS DE CALIFICACIÓN EN EL CONCURSO DE CANTO:</w:t>
      </w:r>
    </w:p>
    <w:tbl>
      <w:tblPr>
        <w:tblStyle w:val="Tablaconcuadrcula"/>
        <w:tblW w:w="0" w:type="auto"/>
        <w:tblLook w:val="04A0" w:firstRow="1" w:lastRow="0" w:firstColumn="1" w:lastColumn="0" w:noHBand="0" w:noVBand="1"/>
      </w:tblPr>
      <w:tblGrid>
        <w:gridCol w:w="562"/>
        <w:gridCol w:w="2127"/>
        <w:gridCol w:w="8505"/>
        <w:gridCol w:w="1802"/>
      </w:tblGrid>
      <w:tr>
        <w:tc>
          <w:tcPr>
            <w:tcW w:w="562" w:type="dxa"/>
            <w:shd w:val="clear" w:color="auto" w:fill="C00000"/>
          </w:tcPr>
          <w:p>
            <w:pPr>
              <w:jc w:val="center"/>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No</w:t>
            </w:r>
          </w:p>
        </w:tc>
        <w:tc>
          <w:tcPr>
            <w:tcW w:w="2127" w:type="dxa"/>
            <w:shd w:val="clear" w:color="auto" w:fill="C00000"/>
          </w:tcPr>
          <w:p>
            <w:pPr>
              <w:jc w:val="center"/>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Criterio</w:t>
            </w:r>
          </w:p>
        </w:tc>
        <w:tc>
          <w:tcPr>
            <w:tcW w:w="8505" w:type="dxa"/>
            <w:shd w:val="clear" w:color="auto" w:fill="C00000"/>
          </w:tcPr>
          <w:p>
            <w:pPr>
              <w:jc w:val="center"/>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Descripción</w:t>
            </w:r>
          </w:p>
        </w:tc>
        <w:tc>
          <w:tcPr>
            <w:tcW w:w="1802" w:type="dxa"/>
            <w:shd w:val="clear" w:color="auto" w:fill="C00000"/>
          </w:tcPr>
          <w:p>
            <w:pPr>
              <w:jc w:val="center"/>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Puntaje</w:t>
            </w:r>
          </w:p>
        </w:tc>
      </w:tr>
      <w:tr>
        <w:tc>
          <w:tcPr>
            <w:tcW w:w="562"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1</w:t>
            </w:r>
          </w:p>
        </w:tc>
        <w:tc>
          <w:tcPr>
            <w:tcW w:w="2127"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Entonación</w:t>
            </w:r>
          </w:p>
        </w:tc>
        <w:tc>
          <w:tcPr>
            <w:tcW w:w="8505" w:type="dxa"/>
          </w:tcPr>
          <w:p>
            <w:pPr>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Se evaluará el acoplamiento tonal con la pista de la pieza musical.</w:t>
            </w:r>
          </w:p>
        </w:tc>
        <w:tc>
          <w:tcPr>
            <w:tcW w:w="1802" w:type="dxa"/>
          </w:tcPr>
          <w:p>
            <w:pPr>
              <w:jc w:val="center"/>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30%</w:t>
            </w:r>
          </w:p>
        </w:tc>
      </w:tr>
      <w:tr>
        <w:tc>
          <w:tcPr>
            <w:tcW w:w="562"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2</w:t>
            </w:r>
          </w:p>
        </w:tc>
        <w:tc>
          <w:tcPr>
            <w:tcW w:w="2127" w:type="dxa"/>
            <w:vAlign w:val="center"/>
          </w:tcPr>
          <w:p>
            <w:pPr>
              <w:spacing w:before="100" w:beforeAutospacing="1" w:after="100" w:afterAutospacing="1"/>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Interpretación</w:t>
            </w:r>
          </w:p>
          <w:p>
            <w:pPr>
              <w:spacing w:before="100" w:beforeAutospacing="1" w:after="100" w:afterAutospacing="1"/>
              <w:rPr>
                <w:rFonts w:ascii="Lato" w:eastAsia="Times New Roman" w:hAnsi="Lato" w:cs="Times New Roman"/>
                <w:b/>
                <w:bCs/>
                <w:kern w:val="0"/>
                <w:sz w:val="24"/>
                <w:szCs w:val="24"/>
                <w:lang w:eastAsia="es-CO"/>
                <w14:ligatures w14:val="none"/>
              </w:rPr>
            </w:pPr>
          </w:p>
          <w:p>
            <w:pPr>
              <w:spacing w:before="100" w:beforeAutospacing="1" w:after="100" w:afterAutospacing="1"/>
              <w:rPr>
                <w:rFonts w:ascii="Lato" w:eastAsia="Times New Roman" w:hAnsi="Lato" w:cs="Times New Roman"/>
                <w:b/>
                <w:bCs/>
                <w:kern w:val="0"/>
                <w:sz w:val="24"/>
                <w:szCs w:val="24"/>
                <w:lang w:eastAsia="es-CO"/>
                <w14:ligatures w14:val="none"/>
              </w:rPr>
            </w:pPr>
          </w:p>
          <w:p>
            <w:pPr>
              <w:spacing w:before="100" w:beforeAutospacing="1" w:after="100" w:afterAutospacing="1"/>
              <w:rPr>
                <w:rFonts w:ascii="Lato" w:eastAsia="Times New Roman" w:hAnsi="Lato" w:cs="Times New Roman"/>
                <w:b/>
                <w:bCs/>
                <w:kern w:val="0"/>
                <w:sz w:val="24"/>
                <w:szCs w:val="24"/>
                <w:lang w:eastAsia="es-CO"/>
                <w14:ligatures w14:val="none"/>
              </w:rPr>
            </w:pPr>
          </w:p>
          <w:p>
            <w:pPr>
              <w:spacing w:before="100" w:beforeAutospacing="1" w:after="100" w:afterAutospacing="1"/>
              <w:rPr>
                <w:rFonts w:ascii="Lato" w:eastAsia="Times New Roman" w:hAnsi="Lato" w:cs="Times New Roman"/>
                <w:b/>
                <w:bCs/>
                <w:kern w:val="0"/>
                <w:sz w:val="24"/>
                <w:szCs w:val="24"/>
                <w:lang w:eastAsia="es-CO"/>
                <w14:ligatures w14:val="none"/>
              </w:rPr>
            </w:pPr>
          </w:p>
          <w:p>
            <w:pPr>
              <w:spacing w:before="100" w:beforeAutospacing="1" w:after="100" w:afterAutospacing="1"/>
              <w:rPr>
                <w:rFonts w:ascii="Lato" w:eastAsia="Times New Roman" w:hAnsi="Lato" w:cs="Times New Roman"/>
                <w:b/>
                <w:bCs/>
                <w:kern w:val="0"/>
                <w:sz w:val="24"/>
                <w:szCs w:val="24"/>
                <w:lang w:eastAsia="es-CO"/>
                <w14:ligatures w14:val="none"/>
              </w:rPr>
            </w:pPr>
          </w:p>
          <w:p>
            <w:pPr>
              <w:spacing w:before="100" w:beforeAutospacing="1" w:after="100" w:afterAutospacing="1"/>
              <w:rPr>
                <w:rFonts w:ascii="Lato" w:eastAsia="Times New Roman" w:hAnsi="Lato" w:cs="Times New Roman"/>
                <w:b/>
                <w:bCs/>
                <w:kern w:val="0"/>
                <w:sz w:val="24"/>
                <w:szCs w:val="24"/>
                <w:lang w:eastAsia="es-CO"/>
                <w14:ligatures w14:val="none"/>
              </w:rPr>
            </w:pPr>
          </w:p>
        </w:tc>
        <w:tc>
          <w:tcPr>
            <w:tcW w:w="8505" w:type="dxa"/>
          </w:tcPr>
          <w:p>
            <w:pPr>
              <w:spacing w:before="100" w:beforeAutospacing="1" w:after="100" w:afterAutospacing="1"/>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Se evaluarán las habilidades en:</w:t>
            </w:r>
          </w:p>
          <w:p>
            <w:pPr>
              <w:spacing w:before="100" w:beforeAutospacing="1" w:after="100" w:afterAutospacing="1"/>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2.1. Dominio verbal: Cantar con seguridad la letra de la pieza musical. Se dará mayor calificación a quienes interpreten la canción de memoria y sin requerir el uso de atril o de hoja de apoyo.</w:t>
            </w:r>
          </w:p>
          <w:p>
            <w:pPr>
              <w:spacing w:before="100" w:beforeAutospacing="1" w:after="100" w:afterAutospacing="1"/>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2.2. Dicción y articulación: Pronunciación clara de cada una de las palabras realizando los correctos acentos prosódicos.</w:t>
            </w:r>
          </w:p>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2.3. Variaciones de intensidad: Permiten calificar el dominio y capacidad vocal al diferenciar mejor entre las partes sutiles de la pieza musical y las partes álgidas o más fuertes de la canción.</w:t>
            </w:r>
          </w:p>
        </w:tc>
        <w:tc>
          <w:tcPr>
            <w:tcW w:w="1802" w:type="dxa"/>
            <w:vAlign w:val="center"/>
          </w:tcPr>
          <w:p>
            <w:pPr>
              <w:spacing w:before="100" w:beforeAutospacing="1" w:after="100" w:afterAutospacing="1"/>
              <w:jc w:val="center"/>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25%</w:t>
            </w:r>
          </w:p>
        </w:tc>
      </w:tr>
      <w:tr>
        <w:tc>
          <w:tcPr>
            <w:tcW w:w="562"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3</w:t>
            </w:r>
          </w:p>
        </w:tc>
        <w:tc>
          <w:tcPr>
            <w:tcW w:w="2127" w:type="dxa"/>
          </w:tcPr>
          <w:p>
            <w:pPr>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Manejo del escenario</w:t>
            </w:r>
          </w:p>
        </w:tc>
        <w:tc>
          <w:tcPr>
            <w:tcW w:w="8505"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Actitud y puesta en escena que permitan transmitir al público la emotividad de la pieza musical, mediante expresión corporal y lenguaje no verbal. Se tendrá en cuenta también el manejo del micrófono.</w:t>
            </w:r>
          </w:p>
        </w:tc>
        <w:tc>
          <w:tcPr>
            <w:tcW w:w="1802" w:type="dxa"/>
            <w:vAlign w:val="center"/>
          </w:tcPr>
          <w:p>
            <w:pPr>
              <w:spacing w:before="100" w:beforeAutospacing="1" w:after="100" w:afterAutospacing="1"/>
              <w:jc w:val="center"/>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20%</w:t>
            </w:r>
          </w:p>
        </w:tc>
      </w:tr>
      <w:tr>
        <w:tc>
          <w:tcPr>
            <w:tcW w:w="562"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4</w:t>
            </w:r>
          </w:p>
        </w:tc>
        <w:tc>
          <w:tcPr>
            <w:tcW w:w="2127" w:type="dxa"/>
          </w:tcPr>
          <w:p>
            <w:pPr>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Vestuario</w:t>
            </w:r>
          </w:p>
        </w:tc>
        <w:tc>
          <w:tcPr>
            <w:tcW w:w="8505"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Tendrán mejor calificación quienes incorporen en sus presentaciones trajes típicos, que caracterizan el tipo de ritmo interpretado.</w:t>
            </w:r>
          </w:p>
        </w:tc>
        <w:tc>
          <w:tcPr>
            <w:tcW w:w="1802" w:type="dxa"/>
            <w:vAlign w:val="center"/>
          </w:tcPr>
          <w:p>
            <w:pPr>
              <w:spacing w:before="100" w:beforeAutospacing="1" w:after="100" w:afterAutospacing="1"/>
              <w:jc w:val="center"/>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15%</w:t>
            </w:r>
          </w:p>
        </w:tc>
      </w:tr>
      <w:tr>
        <w:tc>
          <w:tcPr>
            <w:tcW w:w="562"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5</w:t>
            </w:r>
          </w:p>
        </w:tc>
        <w:tc>
          <w:tcPr>
            <w:tcW w:w="2127"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b/>
                <w:bCs/>
                <w:kern w:val="0"/>
                <w:sz w:val="24"/>
                <w:szCs w:val="24"/>
                <w:lang w:eastAsia="es-CO"/>
                <w14:ligatures w14:val="none"/>
              </w:rPr>
              <w:t>Participación del público</w:t>
            </w:r>
          </w:p>
        </w:tc>
        <w:tc>
          <w:tcPr>
            <w:tcW w:w="8505" w:type="dxa"/>
          </w:tcPr>
          <w:p>
            <w:pPr>
              <w:spacing w:before="100" w:beforeAutospacing="1" w:after="100" w:afterAutospacing="1"/>
              <w:jc w:val="both"/>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Se valorará la reacción del público a través de aplausos, ovaciones y otros gestos de aprobación.</w:t>
            </w:r>
          </w:p>
        </w:tc>
        <w:tc>
          <w:tcPr>
            <w:tcW w:w="1802" w:type="dxa"/>
            <w:vAlign w:val="center"/>
          </w:tcPr>
          <w:p>
            <w:pPr>
              <w:spacing w:before="100" w:beforeAutospacing="1" w:after="100" w:afterAutospacing="1"/>
              <w:jc w:val="center"/>
              <w:rPr>
                <w:rFonts w:ascii="Lato" w:eastAsia="Times New Roman" w:hAnsi="Lato" w:cs="Times New Roman"/>
                <w:b/>
                <w:bCs/>
                <w:kern w:val="0"/>
                <w:sz w:val="24"/>
                <w:szCs w:val="24"/>
                <w:lang w:eastAsia="es-CO"/>
                <w14:ligatures w14:val="none"/>
              </w:rPr>
            </w:pPr>
            <w:r>
              <w:rPr>
                <w:rFonts w:ascii="Lato" w:eastAsia="Times New Roman" w:hAnsi="Lato" w:cs="Times New Roman"/>
                <w:kern w:val="0"/>
                <w:sz w:val="24"/>
                <w:szCs w:val="24"/>
                <w:lang w:eastAsia="es-CO"/>
                <w14:ligatures w14:val="none"/>
              </w:rPr>
              <w:t>10%</w:t>
            </w:r>
          </w:p>
        </w:tc>
      </w:tr>
    </w:tbl>
    <w:p>
      <w:pPr>
        <w:shd w:val="clear" w:color="auto" w:fill="FFFFFF"/>
        <w:spacing w:before="100" w:beforeAutospacing="1" w:after="100" w:afterAutospacing="1" w:line="240" w:lineRule="auto"/>
        <w:jc w:val="both"/>
        <w:rPr>
          <w:rFonts w:ascii="Lato" w:eastAsia="Times New Roman" w:hAnsi="Lato" w:cs="Times New Roman"/>
          <w:b/>
          <w:bCs/>
          <w:kern w:val="0"/>
          <w:sz w:val="24"/>
          <w:szCs w:val="24"/>
          <w:lang w:eastAsia="es-CO"/>
          <w14:ligatures w14:val="none"/>
        </w:rPr>
      </w:pPr>
    </w:p>
    <w:p>
      <w:pPr>
        <w:shd w:val="clear" w:color="auto" w:fill="FFFFFF"/>
        <w:spacing w:before="100" w:beforeAutospacing="1" w:after="100" w:afterAutospacing="1" w:line="240" w:lineRule="auto"/>
        <w:jc w:val="both"/>
        <w:rPr>
          <w:rFonts w:ascii="Lato" w:eastAsia="Times New Roman" w:hAnsi="Lato" w:cs="Times New Roman"/>
          <w:b/>
          <w:bCs/>
          <w:kern w:val="0"/>
          <w:sz w:val="24"/>
          <w:szCs w:val="24"/>
          <w:lang w:eastAsia="es-CO"/>
          <w14:ligatures w14:val="none"/>
        </w:rPr>
      </w:pPr>
    </w:p>
    <w:p>
      <w:pPr>
        <w:shd w:val="clear" w:color="auto" w:fill="FFFFFF"/>
        <w:spacing w:before="100" w:beforeAutospacing="1" w:after="100" w:afterAutospacing="1" w:line="240" w:lineRule="auto"/>
        <w:jc w:val="both"/>
        <w:rPr>
          <w:rFonts w:ascii="Lato" w:eastAsia="Times New Roman" w:hAnsi="Lato" w:cs="Times New Roman"/>
          <w:b/>
          <w:bCs/>
          <w:kern w:val="0"/>
          <w:sz w:val="24"/>
          <w:szCs w:val="24"/>
          <w:lang w:eastAsia="es-CO"/>
          <w14:ligatures w14:val="none"/>
        </w:rPr>
      </w:pP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lastRenderedPageBreak/>
        <w:t>ETAPAS: </w:t>
      </w:r>
    </w:p>
    <w:p>
      <w:pPr>
        <w:numPr>
          <w:ilvl w:val="0"/>
          <w:numId w:val="7"/>
        </w:num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AUDICIONES</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Los días 7 y 8 de noviembre se llevará a cabo en el auditorio del Instituto Municipal de Cultura de Yumbo IMCY, la primera etapa de audiciones, en la cual, los jurados, escucharán a cada uno(a) de los(as) participantes interpretando una de las obras colombianas registradas en el formulario de inscripción.</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En esta etapa, el jurado seleccionará seis solistas por cada categoría (infantil, juvenil y adultos), quienes avanzarán a la etapa semifinal, programada para los días 14 y 15 de noviembre en el Parque Belalcázar. Esta selección se basará en la calidad interpretativa de las obras colombianas presentadas durante las audiciones y la complejidad del repertorio.</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NOTA:</w:t>
      </w:r>
      <w:r>
        <w:rPr>
          <w:rFonts w:ascii="Lato" w:eastAsia="Times New Roman" w:hAnsi="Lato" w:cs="Times New Roman"/>
          <w:kern w:val="0"/>
          <w:sz w:val="24"/>
          <w:szCs w:val="24"/>
          <w:lang w:eastAsia="es-CO"/>
          <w14:ligatures w14:val="none"/>
        </w:rPr>
        <w:t> Los resultados de los participantes seleccionados, serán publicados en el sitio web del Instituto Municipal de Cultura de Yumbo </w:t>
      </w:r>
      <w:hyperlink r:id="rId6" w:history="1">
        <w:r>
          <w:rPr>
            <w:rFonts w:ascii="Lato" w:eastAsia="Times New Roman" w:hAnsi="Lato" w:cs="Times New Roman"/>
            <w:kern w:val="0"/>
            <w:sz w:val="24"/>
            <w:szCs w:val="24"/>
            <w:u w:val="single"/>
            <w:lang w:eastAsia="es-CO"/>
            <w14:ligatures w14:val="none"/>
          </w:rPr>
          <w:t>www.imcy.gov.co</w:t>
        </w:r>
      </w:hyperlink>
      <w:r>
        <w:rPr>
          <w:rFonts w:ascii="Lato" w:eastAsia="Times New Roman" w:hAnsi="Lato" w:cs="Times New Roman"/>
          <w:kern w:val="0"/>
          <w:sz w:val="24"/>
          <w:szCs w:val="24"/>
          <w:lang w:eastAsia="es-CO"/>
          <w14:ligatures w14:val="none"/>
        </w:rPr>
        <w:t> y en las redes sociales institucionales el día lunes 10 de noviembre de 2025.</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En caso de ser seleccionados, un representante del Instituto Municipal de Cultura de Yumbo se pondrá en contacto a los números telefónicos y/o correo electrónico suministrados en el formulario de inscripción, para continuar con el proceso.</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         2. SEMIFINAL</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Se llevará a cabo en el parque Belalcázar los días 14 y 15 de noviembre en el marco del 32° Encuentro Nacional de Intérpretes de Música Colombiana “JULIO CÉSAR GARCÍA AYALA”.</w:t>
      </w:r>
    </w:p>
    <w:p>
      <w:pPr>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Cada día se presentarán los solistas seleccionados (seis por categoría), quienes deberán interpretar una de las obras colombianas registradas en el formulario de inscripción. La canción presentada el primer día deberá ser distinta a la utilizada en la audición previa, garantizando así la diversidad interpretativa y el cumplimiento del repertorio exigido.</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Una vez sean escuchados, por el grupo de jurados los semifinalistas, se seleccionarán tres integrantes de cada categoría quienes disputarán el primer, segundo y tercer lugar en la final.</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lastRenderedPageBreak/>
        <w:t>         3. FINAL </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Se llevará a cabo en el parque Belalcázar el día 16 de noviembre en el marco del 32° Encuentro Nacional de Intérpretes de Música Colombiana “JULIO CÉSAR GARCÍA AYALA”.</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Este día se presentarán los tres finalistas de cada categoría para disputar los puestos de primer, segundo y tercer lugar, interpretando una de las dos obras registradas en el formulario de inscripción. La elección de la canción será realizada por el jurado calificador.</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Una vez se presente el grupo de nueve finalistas el jurado calificador se reunirá y decidirá el primer, segundo y tercer lugar de cada categoría.</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PREMIACIÓN</w:t>
      </w:r>
    </w:p>
    <w:p>
      <w:pPr>
        <w:shd w:val="clear" w:color="auto" w:fill="FFFFFF"/>
        <w:spacing w:before="100" w:beforeAutospacing="1" w:after="100" w:afterAutospacing="1"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Propuesta de premiación para cada categoría: </w:t>
      </w:r>
    </w:p>
    <w:tbl>
      <w:tblPr>
        <w:tblW w:w="12983" w:type="dxa"/>
        <w:shd w:val="clear" w:color="auto" w:fill="FFFFFF"/>
        <w:tblCellMar>
          <w:top w:w="15" w:type="dxa"/>
          <w:left w:w="15" w:type="dxa"/>
          <w:bottom w:w="15" w:type="dxa"/>
          <w:right w:w="15" w:type="dxa"/>
        </w:tblCellMar>
        <w:tblLook w:val="04A0" w:firstRow="1" w:lastRow="0" w:firstColumn="1" w:lastColumn="0" w:noHBand="0" w:noVBand="1"/>
      </w:tblPr>
      <w:tblGrid>
        <w:gridCol w:w="4463"/>
        <w:gridCol w:w="4260"/>
        <w:gridCol w:w="4260"/>
      </w:tblGrid>
      <w:tr>
        <w:tc>
          <w:tcPr>
            <w:tcW w:w="2970"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INFANTIL</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JUVENIL</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b/>
                <w:bCs/>
                <w:kern w:val="0"/>
                <w:sz w:val="24"/>
                <w:szCs w:val="24"/>
                <w:lang w:eastAsia="es-CO"/>
                <w14:ligatures w14:val="none"/>
              </w:rPr>
              <w:t>ADULTO</w:t>
            </w:r>
          </w:p>
        </w:tc>
      </w:tr>
      <w:tr>
        <w:tc>
          <w:tcPr>
            <w:tcW w:w="2970"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1er puesto: $1.300.000.</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1er puesto: $1.300.000.</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1er puesto: $1.300.000.</w:t>
            </w:r>
          </w:p>
        </w:tc>
      </w:tr>
      <w:tr>
        <w:tc>
          <w:tcPr>
            <w:tcW w:w="2970"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2do puesto: $1.000.000.</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2do puesto: $1.000.000.</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2do puesto: $1.000.000.</w:t>
            </w:r>
          </w:p>
        </w:tc>
      </w:tr>
      <w:tr>
        <w:tc>
          <w:tcPr>
            <w:tcW w:w="2970"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3er puesto: $700.000.</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3er puesto: $700.000.</w:t>
            </w:r>
          </w:p>
        </w:tc>
        <w:tc>
          <w:tcPr>
            <w:tcW w:w="2835" w:type="dxa"/>
            <w:tcBorders>
              <w:top w:val="nil"/>
              <w:left w:val="nil"/>
              <w:bottom w:val="single" w:sz="6" w:space="0" w:color="E8E8E8"/>
              <w:right w:val="nil"/>
            </w:tcBorders>
            <w:shd w:val="clear" w:color="auto" w:fill="FFFFFF"/>
            <w:hideMark/>
          </w:tcPr>
          <w:p>
            <w:pPr>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3er puesto: $700.000.</w:t>
            </w:r>
          </w:p>
        </w:tc>
      </w:tr>
    </w:tbl>
    <w:p>
      <w:pPr>
        <w:shd w:val="clear" w:color="auto" w:fill="FFFFFF"/>
        <w:spacing w:after="0" w:line="240" w:lineRule="auto"/>
        <w:jc w:val="both"/>
        <w:rPr>
          <w:rFonts w:ascii="Lato" w:eastAsia="Times New Roman" w:hAnsi="Lato" w:cs="Times New Roman"/>
          <w:kern w:val="0"/>
          <w:sz w:val="24"/>
          <w:szCs w:val="24"/>
          <w:lang w:eastAsia="es-CO"/>
          <w14:ligatures w14:val="none"/>
        </w:rPr>
      </w:pPr>
    </w:p>
    <w:p>
      <w:pPr>
        <w:shd w:val="clear" w:color="auto" w:fill="FFFFFF"/>
        <w:spacing w:after="0" w:line="240" w:lineRule="auto"/>
        <w:jc w:val="both"/>
        <w:rPr>
          <w:rFonts w:ascii="Lato" w:eastAsia="Times New Roman" w:hAnsi="Lato" w:cs="Times New Roman"/>
          <w:kern w:val="0"/>
          <w:sz w:val="24"/>
          <w:szCs w:val="24"/>
          <w:lang w:eastAsia="es-CO"/>
          <w14:ligatures w14:val="none"/>
        </w:rPr>
      </w:pPr>
    </w:p>
    <w:p>
      <w:pPr>
        <w:shd w:val="clear" w:color="auto" w:fill="FFFFFF"/>
        <w:spacing w:after="0" w:line="240" w:lineRule="auto"/>
        <w:jc w:val="both"/>
        <w:rPr>
          <w:rFonts w:ascii="Lato" w:eastAsia="Times New Roman" w:hAnsi="Lato" w:cs="Times New Roman"/>
          <w:kern w:val="0"/>
          <w:sz w:val="24"/>
          <w:szCs w:val="24"/>
          <w:lang w:eastAsia="es-CO"/>
          <w14:ligatures w14:val="none"/>
        </w:rPr>
      </w:pPr>
      <w:r>
        <w:rPr>
          <w:rFonts w:ascii="Lato" w:eastAsia="Times New Roman" w:hAnsi="Lato" w:cs="Times New Roman"/>
          <w:kern w:val="0"/>
          <w:sz w:val="24"/>
          <w:szCs w:val="24"/>
          <w:lang w:eastAsia="es-CO"/>
          <w14:ligatures w14:val="none"/>
        </w:rPr>
        <w:t>Para obtener mayor información o solicitar asesoría sobre el proceso de postulación, los artistas interesados pueden comunicarse al siguiente correo electrónico </w:t>
      </w:r>
      <w:hyperlink r:id="rId7" w:history="1">
        <w:r>
          <w:rPr>
            <w:rFonts w:ascii="Lato" w:eastAsia="Times New Roman" w:hAnsi="Lato" w:cs="Times New Roman"/>
            <w:kern w:val="0"/>
            <w:sz w:val="24"/>
            <w:szCs w:val="24"/>
            <w:u w:val="single"/>
            <w:lang w:eastAsia="es-CO"/>
            <w14:ligatures w14:val="none"/>
          </w:rPr>
          <w:t>comunicaciones@imcy.gov.co</w:t>
        </w:r>
      </w:hyperlink>
      <w:r>
        <w:rPr>
          <w:rFonts w:ascii="Lato" w:eastAsia="Times New Roman" w:hAnsi="Lato" w:cs="Times New Roman"/>
          <w:kern w:val="0"/>
          <w:sz w:val="24"/>
          <w:szCs w:val="24"/>
          <w:lang w:eastAsia="es-CO"/>
          <w14:ligatures w14:val="none"/>
        </w:rPr>
        <w:t>. o al WhatsApp 3206721758.</w:t>
      </w:r>
    </w:p>
    <w:p>
      <w:pPr>
        <w:jc w:val="both"/>
      </w:pPr>
    </w:p>
    <w:p>
      <w:pPr>
        <w:jc w:val="both"/>
      </w:pPr>
    </w:p>
    <w:sectPr>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A"/>
    <w:multiLevelType w:val="multilevel"/>
    <w:tmpl w:val="C392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2843CE"/>
    <w:multiLevelType w:val="hybridMultilevel"/>
    <w:tmpl w:val="DDD60462"/>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D20329"/>
    <w:multiLevelType w:val="multilevel"/>
    <w:tmpl w:val="E468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367E5B"/>
    <w:multiLevelType w:val="multilevel"/>
    <w:tmpl w:val="86B6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21168A"/>
    <w:multiLevelType w:val="multilevel"/>
    <w:tmpl w:val="CE402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B764AA"/>
    <w:multiLevelType w:val="multilevel"/>
    <w:tmpl w:val="4A70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E602A7"/>
    <w:multiLevelType w:val="hybridMultilevel"/>
    <w:tmpl w:val="FA8215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882392D"/>
    <w:multiLevelType w:val="hybridMultilevel"/>
    <w:tmpl w:val="E25A5A96"/>
    <w:lvl w:ilvl="0" w:tplc="CC845CF0">
      <w:numFmt w:val="bullet"/>
      <w:lvlText w:val="-"/>
      <w:lvlJc w:val="left"/>
      <w:pPr>
        <w:ind w:left="720" w:hanging="360"/>
      </w:pPr>
      <w:rPr>
        <w:rFonts w:ascii="Lato" w:eastAsia="Times New Roman" w:hAnsi="Lato"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49F7EB1"/>
    <w:multiLevelType w:val="multilevel"/>
    <w:tmpl w:val="26AA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C5001E"/>
    <w:multiLevelType w:val="multilevel"/>
    <w:tmpl w:val="50DA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3"/>
  </w:num>
  <w:num w:numId="4">
    <w:abstractNumId w:val="4"/>
  </w:num>
  <w:num w:numId="5">
    <w:abstractNumId w:val="0"/>
  </w:num>
  <w:num w:numId="6">
    <w:abstractNumId w:val="9"/>
  </w:num>
  <w:num w:numId="7">
    <w:abstractNumId w:val="8"/>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1440B-1CE9-4023-AC00-53845F9B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Pr>
      <w:rFonts w:eastAsiaTheme="majorEastAsia" w:cstheme="majorBidi"/>
      <w:color w:val="272727" w:themeColor="text1" w:themeTint="D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styleId="nfasisintenso">
    <w:name w:val="Intense Emphasis"/>
    <w:basedOn w:val="Fuentedeprrafopredeter"/>
    <w:uiPriority w:val="21"/>
    <w:qFormat/>
    <w:rPr>
      <w:i/>
      <w:iCs/>
      <w:color w:val="2F5496" w:themeColor="accent1" w:themeShade="BF"/>
    </w:rPr>
  </w:style>
  <w:style w:type="paragraph" w:styleId="Citadestacada">
    <w:name w:val="Intense Quote"/>
    <w:basedOn w:val="Normal"/>
    <w:next w:val="Normal"/>
    <w:link w:val="Citadestacada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Pr>
      <w:i/>
      <w:iCs/>
      <w:color w:val="2F5496" w:themeColor="accent1" w:themeShade="BF"/>
    </w:rPr>
  </w:style>
  <w:style w:type="character" w:styleId="Referenciaintensa">
    <w:name w:val="Intense Reference"/>
    <w:basedOn w:val="Fuentedeprrafopredeter"/>
    <w:uiPriority w:val="32"/>
    <w:qFormat/>
    <w:rPr>
      <w:b/>
      <w:bCs/>
      <w:smallCaps/>
      <w:color w:val="2F5496" w:themeColor="accent1" w:themeShade="BF"/>
      <w:spacing w:val="5"/>
    </w:rPr>
  </w:style>
  <w:style w:type="paragraph" w:styleId="Sinespaciado">
    <w:name w:val="No Spacing"/>
    <w:uiPriority w:val="1"/>
    <w:qFormat/>
    <w:pPr>
      <w:spacing w:after="0" w:line="240" w:lineRule="auto"/>
    </w:p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styleId="Mencinsinresolver">
    <w:name w:val="Unresolved Mention"/>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486980">
      <w:bodyDiv w:val="1"/>
      <w:marLeft w:val="0"/>
      <w:marRight w:val="0"/>
      <w:marTop w:val="0"/>
      <w:marBottom w:val="0"/>
      <w:divBdr>
        <w:top w:val="none" w:sz="0" w:space="0" w:color="auto"/>
        <w:left w:val="none" w:sz="0" w:space="0" w:color="auto"/>
        <w:bottom w:val="none" w:sz="0" w:space="0" w:color="auto"/>
        <w:right w:val="none" w:sz="0" w:space="0" w:color="auto"/>
      </w:divBdr>
    </w:div>
    <w:div w:id="1274827031">
      <w:bodyDiv w:val="1"/>
      <w:marLeft w:val="0"/>
      <w:marRight w:val="0"/>
      <w:marTop w:val="0"/>
      <w:marBottom w:val="0"/>
      <w:divBdr>
        <w:top w:val="none" w:sz="0" w:space="0" w:color="auto"/>
        <w:left w:val="none" w:sz="0" w:space="0" w:color="auto"/>
        <w:bottom w:val="none" w:sz="0" w:space="0" w:color="auto"/>
        <w:right w:val="none" w:sz="0" w:space="0" w:color="auto"/>
      </w:divBdr>
    </w:div>
    <w:div w:id="212665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unicaciones@imcy.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mcy.gov.co/" TargetMode="External"/><Relationship Id="rId5" Type="http://schemas.openxmlformats.org/officeDocument/2006/relationships/hyperlink" Target="https://forms.gle/J53vRefp5AG8D4AA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6</Pages>
  <Words>1373</Words>
  <Characters>7553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Heidy Villan</dc:creator>
  <cp:keywords/>
  <dc:description/>
  <cp:lastModifiedBy>jhonny javier orejuela gamboa</cp:lastModifiedBy>
  <cp:revision>24</cp:revision>
  <dcterms:created xsi:type="dcterms:W3CDTF">2025-09-11T17:24:00Z</dcterms:created>
  <dcterms:modified xsi:type="dcterms:W3CDTF">2025-09-17T20:40:00Z</dcterms:modified>
</cp:coreProperties>
</file>